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C626B">
      <w:pPr>
        <w:pStyle w:val="2"/>
        <w:keepNext w:val="0"/>
        <w:keepLines w:val="0"/>
        <w:widowControl/>
        <w:suppressLineNumbers w:val="0"/>
        <w:jc w:val="center"/>
        <w:rPr>
          <w:rFonts w:hint="eastAsia" w:eastAsia="宋体"/>
          <w:sz w:val="44"/>
          <w:szCs w:val="44"/>
          <w:lang w:val="en-US" w:eastAsia="zh-CN"/>
        </w:rPr>
      </w:pPr>
      <w:r>
        <w:rPr>
          <w:sz w:val="44"/>
          <w:szCs w:val="44"/>
        </w:rPr>
        <w:t>北京科技大学</w:t>
      </w:r>
      <w:r>
        <w:rPr>
          <w:rFonts w:hint="eastAsia"/>
          <w:sz w:val="44"/>
          <w:szCs w:val="44"/>
          <w:lang w:val="en-US" w:eastAsia="zh-CN"/>
        </w:rPr>
        <w:t>建筑外墙高空维修服务</w:t>
      </w:r>
      <w:r>
        <w:rPr>
          <w:sz w:val="44"/>
          <w:szCs w:val="44"/>
        </w:rPr>
        <w:t>项目 综合评审</w:t>
      </w:r>
      <w:r>
        <w:rPr>
          <w:rFonts w:hint="eastAsia"/>
          <w:sz w:val="44"/>
          <w:szCs w:val="44"/>
          <w:lang w:val="en-US" w:eastAsia="zh-CN"/>
        </w:rPr>
        <w:t>标+准</w:t>
      </w:r>
    </w:p>
    <w:p w14:paraId="7B7971D4"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总分：100 分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 w14:paraId="42239778"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评审组长：_________ 评审成员：_________ 评审日期：_________</w:t>
      </w:r>
    </w:p>
    <w:p w14:paraId="26A7E35B"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表格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tbl>
      <w:tblPr>
        <w:tblStyle w:val="5"/>
        <w:tblW w:w="9000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2195"/>
        <w:gridCol w:w="1416"/>
        <w:gridCol w:w="4611"/>
      </w:tblGrid>
      <w:tr w14:paraId="6AC5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78" w:type="dxa"/>
          </w:tcPr>
          <w:p w14:paraId="0BCF16E8">
            <w:pPr>
              <w:pStyle w:val="3"/>
              <w:keepNext w:val="0"/>
              <w:keepLines w:val="0"/>
              <w:widowControl/>
              <w:suppressLineNumbers w:val="0"/>
              <w:spacing w:line="480" w:lineRule="auto"/>
              <w:jc w:val="distribute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95" w:type="dxa"/>
            <w:vAlign w:val="center"/>
          </w:tcPr>
          <w:p w14:paraId="0F068E8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评分条款</w:t>
            </w:r>
          </w:p>
        </w:tc>
        <w:tc>
          <w:tcPr>
            <w:tcW w:w="1416" w:type="dxa"/>
            <w:vAlign w:val="center"/>
          </w:tcPr>
          <w:p w14:paraId="7141DC3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4611" w:type="dxa"/>
            <w:vAlign w:val="center"/>
          </w:tcPr>
          <w:p w14:paraId="719111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评分标准</w:t>
            </w:r>
          </w:p>
        </w:tc>
      </w:tr>
      <w:tr w14:paraId="0F74F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7" w:hRule="atLeast"/>
        </w:trPr>
        <w:tc>
          <w:tcPr>
            <w:tcW w:w="778" w:type="dxa"/>
          </w:tcPr>
          <w:p w14:paraId="1497308C">
            <w:pPr>
              <w:pStyle w:val="3"/>
              <w:keepNext w:val="0"/>
              <w:keepLines w:val="0"/>
              <w:widowControl/>
              <w:suppressLineNumbers w:val="0"/>
              <w:spacing w:line="480" w:lineRule="auto"/>
              <w:jc w:val="distribute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10F9ED2C">
            <w:pPr>
              <w:pStyle w:val="3"/>
              <w:keepNext w:val="0"/>
              <w:keepLines w:val="0"/>
              <w:widowControl/>
              <w:suppressLineNumbers w:val="0"/>
              <w:spacing w:line="480" w:lineRule="auto"/>
              <w:jc w:val="distribute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00D95C7C">
            <w:pPr>
              <w:pStyle w:val="3"/>
              <w:keepNext w:val="0"/>
              <w:keepLines w:val="0"/>
              <w:widowControl/>
              <w:suppressLineNumbers w:val="0"/>
              <w:spacing w:line="480" w:lineRule="auto"/>
              <w:jc w:val="distribute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02079817">
            <w:pPr>
              <w:pStyle w:val="3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一</w:t>
            </w:r>
          </w:p>
        </w:tc>
        <w:tc>
          <w:tcPr>
            <w:tcW w:w="2195" w:type="dxa"/>
            <w:vAlign w:val="center"/>
          </w:tcPr>
          <w:p w14:paraId="5C1AF04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价格部分</w:t>
            </w:r>
          </w:p>
        </w:tc>
        <w:tc>
          <w:tcPr>
            <w:tcW w:w="1416" w:type="dxa"/>
            <w:vAlign w:val="center"/>
          </w:tcPr>
          <w:p w14:paraId="5DB19EF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4611" w:type="dxa"/>
            <w:vAlign w:val="center"/>
          </w:tcPr>
          <w:p w14:paraId="282FC9B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 以所有通过资格性、符合性审查的有效响应人中的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最低有效报价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为基准价，基准价得满分 30 分；</w:t>
            </w:r>
          </w:p>
          <w:p w14:paraId="603F6FD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 其他响应人的价格分计算公式：价格分 = (基准价 / 本单位有效报价) × 30；</w:t>
            </w:r>
          </w:p>
          <w:p w14:paraId="4E6E521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 报价超出本项目最高限价 25 万元的，价格分为 0 分，按无效响应处理。</w:t>
            </w:r>
          </w:p>
        </w:tc>
      </w:tr>
      <w:tr w14:paraId="2FD14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center"/>
          </w:tcPr>
          <w:p w14:paraId="68A6C62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</w:t>
            </w:r>
          </w:p>
        </w:tc>
        <w:tc>
          <w:tcPr>
            <w:tcW w:w="2195" w:type="dxa"/>
            <w:vAlign w:val="center"/>
          </w:tcPr>
          <w:p w14:paraId="396399C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技术实施方案</w:t>
            </w:r>
          </w:p>
        </w:tc>
        <w:tc>
          <w:tcPr>
            <w:tcW w:w="1416" w:type="dxa"/>
            <w:vAlign w:val="center"/>
          </w:tcPr>
          <w:p w14:paraId="3984E5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4611" w:type="dxa"/>
            <w:vAlign w:val="center"/>
          </w:tcPr>
          <w:p w14:paraId="59F0F57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方案完整、贴合校园高空维修 7×24 小时应急需求，外墙维修工艺专业细致，成品保护、工期管控措施齐全完善得 20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-25 分；</w:t>
            </w:r>
          </w:p>
          <w:p w14:paraId="54CDFA8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方案内容完整，工艺、保障措施基本满足项目需求得 13-19 分；</w:t>
            </w:r>
          </w:p>
          <w:p w14:paraId="1EC604C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仅具备基础施工流程，工艺及配套保障细节缺失得 6-12 分；</w:t>
            </w:r>
          </w:p>
          <w:p w14:paraId="07B7E04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无完整施工方案或方案完全不符合项目要求得 0-5 分。</w:t>
            </w:r>
          </w:p>
        </w:tc>
      </w:tr>
      <w:tr w14:paraId="385DA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center"/>
          </w:tcPr>
          <w:p w14:paraId="7C890F2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  <w:tc>
          <w:tcPr>
            <w:tcW w:w="2195" w:type="dxa"/>
            <w:vAlign w:val="center"/>
          </w:tcPr>
          <w:p w14:paraId="43A9CA3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安全保障体系</w:t>
            </w:r>
          </w:p>
        </w:tc>
        <w:tc>
          <w:tcPr>
            <w:tcW w:w="1416" w:type="dxa"/>
            <w:vAlign w:val="center"/>
          </w:tcPr>
          <w:p w14:paraId="7D2B83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4611" w:type="dxa"/>
            <w:vAlign w:val="center"/>
          </w:tcPr>
          <w:p w14:paraId="2A8B54A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高空安全管理制度完善，蜘蛛人悬吊专项防护措施齐全，保险方案完全匹配采购要求，高空坠落、物体打击应急救援预案完整可行得 20-25 分；具备基础安全管理、防护、保险及应急方案，核心要求均满足得 13-19 分；</w:t>
            </w:r>
          </w:p>
          <w:p w14:paraId="77C1DBC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安全体系、防护措施、保险或应急预案存在明显缺项得 6-12 分；</w:t>
            </w:r>
          </w:p>
          <w:p w14:paraId="4DC26D8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无专项安全管理、保险、应急相关内容得 0-5 分。</w:t>
            </w:r>
          </w:p>
        </w:tc>
      </w:tr>
      <w:tr w14:paraId="44D2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center"/>
          </w:tcPr>
          <w:p w14:paraId="67E52E3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四</w:t>
            </w:r>
          </w:p>
        </w:tc>
        <w:tc>
          <w:tcPr>
            <w:tcW w:w="2195" w:type="dxa"/>
            <w:vAlign w:val="center"/>
          </w:tcPr>
          <w:p w14:paraId="3665E43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商务与业绩资质</w:t>
            </w:r>
          </w:p>
        </w:tc>
        <w:tc>
          <w:tcPr>
            <w:tcW w:w="1416" w:type="dxa"/>
            <w:vAlign w:val="center"/>
          </w:tcPr>
          <w:p w14:paraId="4128DE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611" w:type="dxa"/>
            <w:vAlign w:val="center"/>
          </w:tcPr>
          <w:p w14:paraId="4686E04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近 3 年 3 个及以上校园外墙蜘蛛人维修同类业绩，企业证照、作业人员证件、社保材料全部齐全有效得 8-10 分；</w:t>
            </w:r>
          </w:p>
          <w:p w14:paraId="2AB69B0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满足公告最低 2 份同类业绩要求，全部资质人员材料合规得 5-7 分；仅有 1 份同类业绩或资质人员资料存在瑕疵得 2-4 分；</w:t>
            </w:r>
          </w:p>
          <w:p w14:paraId="33DCBB8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无同类业绩、资质证件失效或人员材料不符合要求得 0-1 分。</w:t>
            </w:r>
          </w:p>
        </w:tc>
      </w:tr>
      <w:tr w14:paraId="1A06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center"/>
          </w:tcPr>
          <w:p w14:paraId="7D9235D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五</w:t>
            </w:r>
          </w:p>
        </w:tc>
        <w:tc>
          <w:tcPr>
            <w:tcW w:w="2195" w:type="dxa"/>
            <w:vAlign w:val="center"/>
          </w:tcPr>
          <w:p w14:paraId="3EF0776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应急与服务保障</w:t>
            </w:r>
          </w:p>
        </w:tc>
        <w:tc>
          <w:tcPr>
            <w:tcW w:w="1416" w:type="dxa"/>
            <w:vAlign w:val="center"/>
          </w:tcPr>
          <w:p w14:paraId="5A51F5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611" w:type="dxa"/>
            <w:vAlign w:val="center"/>
          </w:tcPr>
          <w:p w14:paraId="1F0FFD3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明确 7×24 小时全天候应急机制，承诺 2 小时内到场处置，应急班组设备储备充足，质保期不低于 2 年且售后回访、维修响应机制完善得 8-10 分；</w:t>
            </w:r>
          </w:p>
          <w:p w14:paraId="39E6C86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具备常态化应急响应机制，质保符合行业标准得 5-7 分；</w:t>
            </w:r>
          </w:p>
          <w:p w14:paraId="565A834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应急到场时限、人员物资储备或质保方案表述模糊得 2-4 分；</w:t>
            </w:r>
          </w:p>
          <w:p w14:paraId="4FF3329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无应急处置方案、无质保承诺得 0-1 分。</w:t>
            </w:r>
          </w:p>
        </w:tc>
      </w:tr>
    </w:tbl>
    <w:p w14:paraId="0EBD79B9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B51D27"/>
    <w:rsid w:val="105D4043"/>
    <w:rsid w:val="27624129"/>
    <w:rsid w:val="296E737B"/>
    <w:rsid w:val="34BB48E0"/>
    <w:rsid w:val="42B51D27"/>
    <w:rsid w:val="6865279D"/>
    <w:rsid w:val="6F616041"/>
    <w:rsid w:val="798E037A"/>
    <w:rsid w:val="7A7E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735</Words>
  <Characters>818</Characters>
  <Lines>0</Lines>
  <Paragraphs>0</Paragraphs>
  <TotalTime>59</TotalTime>
  <ScaleCrop>false</ScaleCrop>
  <LinksUpToDate>false</LinksUpToDate>
  <CharactersWithSpaces>886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2026-07-15T01:12:00Z</dcterms:created>
  <dc:creator>Amber Li</dc:creator>
  <cp:lastModifiedBy>Amber Li</cp:lastModifiedBy>
  <cp:lastPrinted>2026-07-21T01:59:05Z</cp:lastPrinted>
  <dcterms:modified xsi:type="dcterms:W3CDTF">2026-07-21T02:00:35Z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C846C8B86B8C43B0BC7D0317CE78B36A_11</vt:lpwstr>
  </property>
  <property fmtid="{D5CDD505-2E9C-101B-9397-08002B2CF9AE}" pid="4" name="KSOTemplateDocerSaveRecord">
    <vt:lpwstr>eyJoZGlkIjoiYTljNjRiNjAyZDk3MDI5ZjNhYTg1YzU3OTMwNGY2MjQiLCJ1c2VySWQiOiI4Mjk3NDkwNjAifQ==</vt:lpwstr>
  </property>
</Properties>
</file>